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407A" w14:textId="77777777" w:rsidR="00AB23CD" w:rsidRPr="00AB23CD" w:rsidRDefault="00AB23CD" w:rsidP="00AB23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C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79CBB0A" wp14:editId="72C02C25">
                <wp:extent cx="5943600" cy="1270"/>
                <wp:effectExtent l="0" t="31750" r="0" b="36830"/>
                <wp:docPr id="91255075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743A60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55848D5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B23CD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🧭</w:t>
      </w:r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DIAGNOSTIK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&amp;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BEHANDLUNGSVORSCHLAG</w:t>
      </w:r>
      <w:proofErr w:type="spellEnd"/>
    </w:p>
    <w:p w14:paraId="06EEFC48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9511506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Nach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Leitlinien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des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Bundesministeriums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für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Gesundheit</w:t>
      </w:r>
    </w:p>
    <w:p w14:paraId="56A049DD" w14:textId="77777777" w:rsidR="00AB23CD" w:rsidRPr="00AB23CD" w:rsidRDefault="00AB23CD" w:rsidP="00AB23CD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16A8C83" wp14:editId="7F9D6E34">
                <wp:extent cx="5943600" cy="1270"/>
                <wp:effectExtent l="0" t="31750" r="0" b="36830"/>
                <wp:docPr id="58394918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C851DC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E3E9673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23C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🎯</w:t>
      </w: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Kernkompetenz</w:t>
      </w:r>
      <w:proofErr w:type="spellEnd"/>
    </w:p>
    <w:p w14:paraId="221E9A96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B1D3A0C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Studierende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in der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Lage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>:</w:t>
      </w:r>
    </w:p>
    <w:p w14:paraId="7B4891C2" w14:textId="77777777" w:rsidR="00AB23CD" w:rsidRPr="00AB23CD" w:rsidRDefault="00AB23CD" w:rsidP="00AB23C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Apple Color Emoji" w:hAnsi="Apple Color Emoji" w:cs="Apple Color Emoji"/>
          <w:kern w:val="0"/>
          <w14:ligatures w14:val="none"/>
        </w:rPr>
        <w:t>🧠</w:t>
      </w:r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medizinisches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Wissen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anzuwenden</w:t>
      </w:r>
      <w:proofErr w:type="spellEnd"/>
    </w:p>
    <w:p w14:paraId="2A0CB08C" w14:textId="77777777" w:rsidR="00AB23CD" w:rsidRPr="00AB23CD" w:rsidRDefault="00AB23CD" w:rsidP="00AB23C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Apple Color Emoji" w:hAnsi="Apple Color Emoji" w:cs="Apple Color Emoji"/>
          <w:kern w:val="0"/>
          <w14:ligatures w14:val="none"/>
        </w:rPr>
        <w:t>🧾</w:t>
      </w:r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einzubeziehen</w:t>
      </w:r>
      <w:proofErr w:type="spellEnd"/>
    </w:p>
    <w:p w14:paraId="43DDA215" w14:textId="77777777" w:rsidR="00AB23CD" w:rsidRPr="00AB23CD" w:rsidRDefault="00AB23CD" w:rsidP="00AB23C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Apple Color Emoji" w:hAnsi="Apple Color Emoji" w:cs="Apple Color Emoji"/>
          <w:kern w:val="0"/>
          <w14:ligatures w14:val="none"/>
        </w:rPr>
        <w:t>🗣️</w:t>
      </w:r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strukturiert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nutzen</w:t>
      </w:r>
      <w:proofErr w:type="spellEnd"/>
    </w:p>
    <w:p w14:paraId="289FD473" w14:textId="77777777" w:rsidR="00AB23CD" w:rsidRPr="00AB23CD" w:rsidRDefault="00AB23CD" w:rsidP="00AB23C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Apple Color Emoji" w:hAnsi="Apple Color Emoji" w:cs="Apple Color Emoji"/>
          <w:kern w:val="0"/>
          <w14:ligatures w14:val="none"/>
        </w:rPr>
        <w:t>⚖️</w:t>
      </w:r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Grenzen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eigenen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Methode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kennen</w:t>
      </w:r>
      <w:proofErr w:type="spellEnd"/>
    </w:p>
    <w:p w14:paraId="16A60AEF" w14:textId="77777777" w:rsidR="00AB23CD" w:rsidRPr="00AB23CD" w:rsidRDefault="00AB23CD" w:rsidP="00AB23C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Apple Color Emoji" w:hAnsi="Apple Color Emoji" w:cs="Apple Color Emoji"/>
          <w:kern w:val="0"/>
          <w14:ligatures w14:val="none"/>
        </w:rPr>
        <w:t>⛔</w:t>
      </w:r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Kontraindikationen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berücksichtigen</w:t>
      </w:r>
      <w:proofErr w:type="spellEnd"/>
    </w:p>
    <w:p w14:paraId="7AFE2D6A" w14:textId="77777777" w:rsidR="00AB23CD" w:rsidRPr="00AB23CD" w:rsidRDefault="00AB23CD" w:rsidP="00AB23C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Apple Color Emoji" w:hAnsi="Apple Color Emoji" w:cs="Apple Color Emoji"/>
          <w:kern w:val="0"/>
          <w14:ligatures w14:val="none"/>
        </w:rPr>
        <w:t>🩺</w:t>
      </w:r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eine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berufsbezogene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Diagnose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stellen</w:t>
      </w:r>
      <w:proofErr w:type="spellEnd"/>
    </w:p>
    <w:p w14:paraId="04213D5D" w14:textId="77777777" w:rsidR="00AB23CD" w:rsidRPr="00AB23CD" w:rsidRDefault="00AB23CD" w:rsidP="00AB23C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Apple Color Emoji" w:hAnsi="Apple Color Emoji" w:cs="Apple Color Emoji"/>
          <w:kern w:val="0"/>
          <w14:ligatures w14:val="none"/>
        </w:rPr>
        <w:t>🛡️</w:t>
      </w:r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einen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sicheren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Behandlungsvorschlag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abzuleiten</w:t>
      </w:r>
      <w:proofErr w:type="spellEnd"/>
    </w:p>
    <w:p w14:paraId="0A3BC406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1DBC63D" w14:textId="77777777" w:rsidR="00AB23CD" w:rsidRPr="00AB23CD" w:rsidRDefault="00AB23CD" w:rsidP="00AB23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C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599C151" wp14:editId="069A2702">
                <wp:extent cx="5943600" cy="1270"/>
                <wp:effectExtent l="0" t="31750" r="0" b="36830"/>
                <wp:docPr id="23841059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B616B0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750E481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B23CD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🧭</w:t>
      </w:r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HAUPT-APPROACH (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KLINISCHER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DENKWEG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)</w:t>
      </w:r>
    </w:p>
    <w:p w14:paraId="555B1A9A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3187BCF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1️</w:t>
      </w:r>
      <w:r w:rsidRPr="00AB23CD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⃣</w:t>
      </w: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Wissen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anwenden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AB23C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🧠</w:t>
      </w:r>
    </w:p>
    <w:p w14:paraId="7D528352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184D9CC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sagt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Pathophysiologie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>?</w:t>
      </w:r>
    </w:p>
    <w:p w14:paraId="40A44E70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Times New Roman" w:hAnsi="Times New Roman" w:cs="Times New Roman"/>
          <w:kern w:val="0"/>
          <w14:ligatures w14:val="none"/>
        </w:rPr>
        <w:lastRenderedPageBreak/>
        <w:t xml:space="preserve">Was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passt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symptomatisch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>?</w:t>
      </w:r>
    </w:p>
    <w:p w14:paraId="7A61E4AB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88E66FD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2️</w:t>
      </w:r>
      <w:r w:rsidRPr="00AB23CD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⃣</w:t>
      </w: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Befunde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einordnen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AB23C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🧾</w:t>
      </w:r>
    </w:p>
    <w:p w14:paraId="2A11BCEC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5896861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Daten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stützen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schwächen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den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>?</w:t>
      </w:r>
    </w:p>
    <w:p w14:paraId="0375FF06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0C53BFB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3️</w:t>
      </w:r>
      <w:r w:rsidRPr="00AB23CD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⃣</w:t>
      </w: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Anamnese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gewichten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AB23C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🗣️</w:t>
      </w:r>
    </w:p>
    <w:p w14:paraId="099AEBDF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7577BC4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entscheidend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für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die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Entscheidung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>?</w:t>
      </w:r>
    </w:p>
    <w:p w14:paraId="1233D90F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A1AD988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AB23C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Grenzen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reflektieren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AB23C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⚖️</w:t>
      </w:r>
    </w:p>
    <w:p w14:paraId="23182261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FEBB342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darf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ich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diagnostisch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>?</w:t>
      </w:r>
    </w:p>
    <w:p w14:paraId="4048EAE1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darf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ich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therapeutisch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nicht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>?</w:t>
      </w:r>
    </w:p>
    <w:p w14:paraId="486795FA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8F1624C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</w:t>
      </w:r>
      <w:r w:rsidRPr="00AB23C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Kontraindikationen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prüfen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AB23C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⛔</w:t>
      </w:r>
    </w:p>
    <w:p w14:paraId="6F54EC93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804C3FB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Times New Roman" w:hAnsi="Times New Roman" w:cs="Times New Roman"/>
          <w:kern w:val="0"/>
          <w14:ligatures w14:val="none"/>
        </w:rPr>
        <w:t xml:space="preserve">Wo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könnte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Schaden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entstehen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>?</w:t>
      </w:r>
    </w:p>
    <w:p w14:paraId="59DF4255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500A206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6️</w:t>
      </w:r>
      <w:r w:rsidRPr="00AB23CD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⃣</w:t>
      </w: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Entscheidung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treffen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AB23C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🩺</w:t>
      </w:r>
    </w:p>
    <w:p w14:paraId="6454B6A4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0EF9217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Berufsbezogene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Diagnose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formulieren</w:t>
      </w:r>
      <w:proofErr w:type="spellEnd"/>
    </w:p>
    <w:p w14:paraId="21C42E09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E26D327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7️</w:t>
      </w:r>
      <w:r w:rsidRPr="00AB23CD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14:ligatures w14:val="none"/>
        </w:rPr>
        <w:t>⃣</w:t>
      </w: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Sicherer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Vorschlag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AB23C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🛡️</w:t>
      </w:r>
    </w:p>
    <w:p w14:paraId="327F6EBD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DC80DF8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Behandlung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Gefährdung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Patientengesundheit</w:t>
      </w:r>
      <w:proofErr w:type="spellEnd"/>
    </w:p>
    <w:p w14:paraId="5ECCBD9B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F92CD54" w14:textId="77777777" w:rsidR="00AB23CD" w:rsidRPr="00AB23CD" w:rsidRDefault="00AB23CD" w:rsidP="00AB23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C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2D71E63" wp14:editId="71B5B1AD">
                <wp:extent cx="5943600" cy="1270"/>
                <wp:effectExtent l="0" t="31750" r="0" b="36830"/>
                <wp:docPr id="10445920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F5DFA3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DDC108A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B23CD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👥</w:t>
      </w:r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METHODISCHES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VORGEHEN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IM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UNTERRICHT</w:t>
      </w:r>
      <w:proofErr w:type="spellEnd"/>
    </w:p>
    <w:p w14:paraId="2E737618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E864938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Sechs-Phasen-Modell</w:t>
      </w:r>
      <w:proofErr w:type="spellEnd"/>
    </w:p>
    <w:p w14:paraId="20B39C4C" w14:textId="77777777" w:rsidR="00AB23CD" w:rsidRPr="00AB23CD" w:rsidRDefault="00AB23CD" w:rsidP="00AB23CD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26E2166" wp14:editId="360420F2">
                <wp:extent cx="5943600" cy="1270"/>
                <wp:effectExtent l="0" t="31750" r="0" b="36830"/>
                <wp:docPr id="15711969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2BE0C0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57FD6DE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Phase 1: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Konfrontation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AB23C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🎬</w:t>
      </w:r>
    </w:p>
    <w:p w14:paraId="3462D286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E332A48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Times New Roman" w:hAnsi="Times New Roman" w:cs="Times New Roman"/>
          <w:kern w:val="0"/>
          <w14:ligatures w14:val="none"/>
        </w:rPr>
        <w:t xml:space="preserve">Fall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wird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vorgestellt</w:t>
      </w:r>
      <w:proofErr w:type="spellEnd"/>
    </w:p>
    <w:p w14:paraId="1BE9F090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Apple Color Emoji" w:hAnsi="Apple Color Emoji" w:cs="Apple Color Emoji"/>
          <w:kern w:val="0"/>
          <w14:ligatures w14:val="none"/>
        </w:rPr>
        <w:t>➡</w:t>
      </w:r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Ziel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: Problem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erkennen</w:t>
      </w:r>
      <w:proofErr w:type="spellEnd"/>
    </w:p>
    <w:p w14:paraId="78BE8712" w14:textId="77777777" w:rsidR="00AB23CD" w:rsidRPr="00AB23CD" w:rsidRDefault="00AB23CD" w:rsidP="00AB23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C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770A40D" wp14:editId="17527326">
                <wp:extent cx="5943600" cy="1270"/>
                <wp:effectExtent l="0" t="31750" r="0" b="36830"/>
                <wp:docPr id="4956977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31F57A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050B7AC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Phase 2: Information </w:t>
      </w:r>
      <w:r w:rsidRPr="00AB23C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📚</w:t>
      </w:r>
    </w:p>
    <w:p w14:paraId="73A31E2B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3C94BE9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Times New Roman" w:hAnsi="Times New Roman" w:cs="Times New Roman"/>
          <w:kern w:val="0"/>
          <w14:ligatures w14:val="none"/>
        </w:rPr>
        <w:t xml:space="preserve">Material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analysieren</w:t>
      </w:r>
      <w:proofErr w:type="spellEnd"/>
    </w:p>
    <w:p w14:paraId="6C71FFE2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Apple Color Emoji" w:hAnsi="Apple Color Emoji" w:cs="Apple Color Emoji"/>
          <w:kern w:val="0"/>
          <w14:ligatures w14:val="none"/>
        </w:rPr>
        <w:t>➡</w:t>
      </w:r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Ziel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relevante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Informationen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identifizieren</w:t>
      </w:r>
      <w:proofErr w:type="spellEnd"/>
    </w:p>
    <w:p w14:paraId="6C7283ED" w14:textId="77777777" w:rsidR="00AB23CD" w:rsidRPr="00AB23CD" w:rsidRDefault="00AB23CD" w:rsidP="00AB23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C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11825E9" wp14:editId="267342D3">
                <wp:extent cx="5943600" cy="1270"/>
                <wp:effectExtent l="0" t="31750" r="0" b="36830"/>
                <wp:docPr id="20595226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9B6849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03BFA7C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Phase 3: Exploration </w:t>
      </w:r>
      <w:r w:rsidRPr="00AB23C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🔁</w:t>
      </w:r>
    </w:p>
    <w:p w14:paraId="1805235E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82A8918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Times New Roman" w:hAnsi="Times New Roman" w:cs="Times New Roman"/>
          <w:kern w:val="0"/>
          <w14:ligatures w14:val="none"/>
        </w:rPr>
        <w:t xml:space="preserve">Alternative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Lösungen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diskutieren</w:t>
      </w:r>
      <w:proofErr w:type="spellEnd"/>
    </w:p>
    <w:p w14:paraId="32DA2B8D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Apple Color Emoji" w:hAnsi="Apple Color Emoji" w:cs="Apple Color Emoji"/>
          <w:kern w:val="0"/>
          <w14:ligatures w14:val="none"/>
        </w:rPr>
        <w:t>➡</w:t>
      </w:r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Ziel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Denken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</w:p>
    <w:p w14:paraId="76C59758" w14:textId="77777777" w:rsidR="00AB23CD" w:rsidRPr="00AB23CD" w:rsidRDefault="00AB23CD" w:rsidP="00AB23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C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ED750B3" wp14:editId="153FB7C6">
                <wp:extent cx="5943600" cy="1270"/>
                <wp:effectExtent l="0" t="31750" r="0" b="36830"/>
                <wp:docPr id="5945055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214631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54BF632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Phase 4: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Entscheidungsphase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AB23C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🩺</w:t>
      </w:r>
    </w:p>
    <w:p w14:paraId="1E308CF2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79BDCE8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Gruppenentscheidung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treffen</w:t>
      </w:r>
      <w:proofErr w:type="spellEnd"/>
    </w:p>
    <w:p w14:paraId="41768493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AC8E280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Times New Roman" w:hAnsi="Times New Roman" w:cs="Times New Roman"/>
          <w:kern w:val="0"/>
          <w14:ligatures w14:val="none"/>
        </w:rPr>
        <w:t xml:space="preserve">Vier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Schritte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>:</w:t>
      </w:r>
    </w:p>
    <w:p w14:paraId="07A6464F" w14:textId="77777777" w:rsidR="00AB23CD" w:rsidRPr="00AB23CD" w:rsidRDefault="00AB23CD" w:rsidP="00AB23C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Alternativen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gegenüberstellen</w:t>
      </w:r>
      <w:proofErr w:type="spellEnd"/>
    </w:p>
    <w:p w14:paraId="10E3F747" w14:textId="77777777" w:rsidR="00AB23CD" w:rsidRPr="00AB23CD" w:rsidRDefault="00AB23CD" w:rsidP="00AB23C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Werte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vergleichen</w:t>
      </w:r>
      <w:proofErr w:type="spellEnd"/>
    </w:p>
    <w:p w14:paraId="14922993" w14:textId="77777777" w:rsidR="00AB23CD" w:rsidRPr="00AB23CD" w:rsidRDefault="00AB23CD" w:rsidP="00AB23C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Entscheidung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treffen</w:t>
      </w:r>
      <w:proofErr w:type="spellEnd"/>
    </w:p>
    <w:p w14:paraId="4651AA85" w14:textId="77777777" w:rsidR="00AB23CD" w:rsidRPr="00AB23CD" w:rsidRDefault="00AB23CD" w:rsidP="00AB23C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Entscheidung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begründen</w:t>
      </w:r>
      <w:proofErr w:type="spellEnd"/>
    </w:p>
    <w:p w14:paraId="46077A0C" w14:textId="77777777" w:rsidR="00AB23CD" w:rsidRPr="00AB23CD" w:rsidRDefault="00AB23CD" w:rsidP="00AB23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C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879EB1D" wp14:editId="083D9C9E">
                <wp:extent cx="5943600" cy="1270"/>
                <wp:effectExtent l="0" t="31750" r="0" b="36830"/>
                <wp:docPr id="177478289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C4C6C1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7E1EE03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Phase 5: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Präsentation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AB23C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🗣️</w:t>
      </w:r>
    </w:p>
    <w:p w14:paraId="21749FCA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222D2CA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Gruppe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verteidigt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Entscheidung</w:t>
      </w:r>
      <w:proofErr w:type="spellEnd"/>
    </w:p>
    <w:p w14:paraId="5CFD5105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Apple Color Emoji" w:hAnsi="Apple Color Emoji" w:cs="Apple Color Emoji"/>
          <w:kern w:val="0"/>
          <w14:ligatures w14:val="none"/>
        </w:rPr>
        <w:t>➡</w:t>
      </w:r>
      <w:r w:rsidRPr="00AB23CD">
        <w:rPr>
          <w:rFonts w:ascii="Times New Roman" w:hAnsi="Times New Roman" w:cs="Times New Roman"/>
          <w:kern w:val="0"/>
          <w14:ligatures w14:val="none"/>
        </w:rPr>
        <w:t xml:space="preserve"> Argumentative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Kompetenz</w:t>
      </w:r>
      <w:proofErr w:type="spellEnd"/>
    </w:p>
    <w:p w14:paraId="7D1A0B26" w14:textId="77777777" w:rsidR="00AB23CD" w:rsidRPr="00AB23CD" w:rsidRDefault="00AB23CD" w:rsidP="00AB23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C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EAE0E26" wp14:editId="36619CD9">
                <wp:extent cx="5943600" cy="1270"/>
                <wp:effectExtent l="0" t="31750" r="0" b="36830"/>
                <wp:docPr id="12740323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80B5AA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B2AA4F1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Phase 6: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Vergleich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AB23CD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🔎</w:t>
      </w:r>
    </w:p>
    <w:p w14:paraId="5E06A038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F3D691F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Vergleich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mit realer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Entscheidung</w:t>
      </w:r>
      <w:proofErr w:type="spellEnd"/>
    </w:p>
    <w:p w14:paraId="31F6AFDE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Apple Color Emoji" w:hAnsi="Apple Color Emoji" w:cs="Apple Color Emoji"/>
          <w:kern w:val="0"/>
          <w14:ligatures w14:val="none"/>
        </w:rPr>
        <w:lastRenderedPageBreak/>
        <w:t>➡</w:t>
      </w:r>
      <w:r w:rsidRPr="00AB23CD">
        <w:rPr>
          <w:rFonts w:ascii="Times New Roman" w:hAnsi="Times New Roman" w:cs="Times New Roman"/>
          <w:kern w:val="0"/>
          <w14:ligatures w14:val="none"/>
        </w:rPr>
        <w:t xml:space="preserve"> Reflexion und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Gewichtung</w:t>
      </w:r>
      <w:proofErr w:type="spellEnd"/>
    </w:p>
    <w:p w14:paraId="5FC596D0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A37881F" w14:textId="77777777" w:rsidR="00AB23CD" w:rsidRPr="00AB23CD" w:rsidRDefault="00AB23CD" w:rsidP="00AB23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C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9CB10E4" wp14:editId="5E53CF6C">
                <wp:extent cx="5943600" cy="1270"/>
                <wp:effectExtent l="0" t="31750" r="0" b="36830"/>
                <wp:docPr id="10118818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A109AA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F6DEFF0" w14:textId="77777777" w:rsidR="00AB23CD" w:rsidRPr="00AB23CD" w:rsidRDefault="00AB23CD" w:rsidP="00AB23CD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B23CD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🧠</w:t>
      </w:r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Zentrale</w:t>
      </w:r>
      <w:proofErr w:type="spellEnd"/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AB23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Denkregel</w:t>
      </w:r>
      <w:proofErr w:type="spellEnd"/>
    </w:p>
    <w:p w14:paraId="379AD2DC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9980163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Times New Roman" w:hAnsi="Times New Roman" w:cs="Times New Roman"/>
          <w:kern w:val="0"/>
          <w14:ligatures w14:val="none"/>
        </w:rPr>
        <w:t xml:space="preserve">Diagnose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entsteht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aus:</w:t>
      </w:r>
    </w:p>
    <w:p w14:paraId="677A0708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F6CB677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Wissen</w:t>
      </w:r>
      <w:proofErr w:type="spellEnd"/>
    </w:p>
    <w:p w14:paraId="18A0D70A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Times New Roman" w:hAnsi="Times New Roman" w:cs="Times New Roman"/>
          <w:kern w:val="0"/>
          <w14:ligatures w14:val="none"/>
        </w:rPr>
        <w:t>plus</w:t>
      </w:r>
    </w:p>
    <w:p w14:paraId="6D664C02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</w:p>
    <w:p w14:paraId="087EDD78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Times New Roman" w:hAnsi="Times New Roman" w:cs="Times New Roman"/>
          <w:kern w:val="0"/>
          <w14:ligatures w14:val="none"/>
        </w:rPr>
        <w:t>plus</w:t>
      </w:r>
    </w:p>
    <w:p w14:paraId="0602F7EC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</w:p>
    <w:p w14:paraId="3AEDDC78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B23CD">
        <w:rPr>
          <w:rFonts w:ascii="Times New Roman" w:hAnsi="Times New Roman" w:cs="Times New Roman"/>
          <w:kern w:val="0"/>
          <w14:ligatures w14:val="none"/>
        </w:rPr>
        <w:t>minus</w:t>
      </w:r>
    </w:p>
    <w:p w14:paraId="522FC939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Gefährdung</w:t>
      </w:r>
      <w:proofErr w:type="spellEnd"/>
    </w:p>
    <w:p w14:paraId="0E47838D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gleich</w:t>
      </w:r>
      <w:proofErr w:type="spellEnd"/>
    </w:p>
    <w:p w14:paraId="688E64A7" w14:textId="77777777" w:rsidR="00AB23CD" w:rsidRPr="00AB23CD" w:rsidRDefault="00AB23CD" w:rsidP="00AB23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Sichere</w:t>
      </w:r>
      <w:proofErr w:type="spellEnd"/>
      <w:r w:rsidRPr="00AB23CD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AB23CD">
        <w:rPr>
          <w:rFonts w:ascii="Times New Roman" w:hAnsi="Times New Roman" w:cs="Times New Roman"/>
          <w:kern w:val="0"/>
          <w14:ligatures w14:val="none"/>
        </w:rPr>
        <w:t>Entscheidung</w:t>
      </w:r>
      <w:proofErr w:type="spellEnd"/>
    </w:p>
    <w:p w14:paraId="39B84FDB" w14:textId="77777777" w:rsidR="00AB23CD" w:rsidRPr="00AB23CD" w:rsidRDefault="00AB23CD" w:rsidP="00AB23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23C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0493ED8" wp14:editId="24FCD1CB">
                <wp:extent cx="5943600" cy="1270"/>
                <wp:effectExtent l="0" t="31750" r="0" b="36830"/>
                <wp:docPr id="7391070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529BFD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02040B2" w14:textId="77777777" w:rsidR="002B61A6" w:rsidRPr="002B61A6" w:rsidRDefault="002B61A6" w:rsidP="002B61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61A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CA03EF1" wp14:editId="5A9BA660">
                <wp:extent cx="5943600" cy="1270"/>
                <wp:effectExtent l="0" t="31750" r="0" b="36830"/>
                <wp:docPr id="211912173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723ED5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05E8A1C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B61A6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🎓</w:t>
      </w:r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Gruppen-Skript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: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Diagnostik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+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Differentialdiagnosen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über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Fallarbeit</w:t>
      </w:r>
      <w:proofErr w:type="spellEnd"/>
    </w:p>
    <w:p w14:paraId="75E53CC5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6594FAB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61A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🔷</w:t>
      </w:r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Arbeitsregel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immer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gleich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, pro Fall)</w:t>
      </w:r>
    </w:p>
    <w:p w14:paraId="5B5247EF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E9E7C8E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 xml:space="preserve">Die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Gruppe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muss in 6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Sätzen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liefern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:</w:t>
      </w:r>
    </w:p>
    <w:p w14:paraId="211D4089" w14:textId="77777777" w:rsidR="002B61A6" w:rsidRPr="002B61A6" w:rsidRDefault="002B61A6" w:rsidP="002B61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Leitsymptom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: 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Hauptproblem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…“</w:t>
      </w:r>
    </w:p>
    <w:p w14:paraId="7A417F4A" w14:textId="77777777" w:rsidR="002B61A6" w:rsidRPr="002B61A6" w:rsidRDefault="002B61A6" w:rsidP="002B61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Berufsbezogene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Verdachtsdiagnose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: 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…“</w:t>
      </w:r>
    </w:p>
    <w:p w14:paraId="3DBD2A93" w14:textId="77777777" w:rsidR="002B61A6" w:rsidRPr="002B61A6" w:rsidRDefault="002B61A6" w:rsidP="002B61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Zwei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): 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Alternativ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kommen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Frage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… und …“</w:t>
      </w:r>
    </w:p>
    <w:p w14:paraId="1D172A70" w14:textId="77777777" w:rsidR="002B61A6" w:rsidRPr="002B61A6" w:rsidRDefault="002B61A6" w:rsidP="002B61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Krankengeschichte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 – 5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Kernfragen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: 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Wir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müssen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klären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…“</w:t>
      </w:r>
    </w:p>
    <w:p w14:paraId="1CC3C6C8" w14:textId="77777777" w:rsidR="002B61A6" w:rsidRPr="002B61A6" w:rsidRDefault="002B61A6" w:rsidP="002B61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„Relevant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…,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weil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…“</w:t>
      </w:r>
    </w:p>
    <w:p w14:paraId="1DADB40F" w14:textId="77777777" w:rsidR="002B61A6" w:rsidRPr="002B61A6" w:rsidRDefault="002B61A6" w:rsidP="002B61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Sicherer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Behandlungsvorschlag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Gefährdung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 +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Kontraindikationen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: 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Wir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empfehlen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…,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unterlassen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aber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…,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weil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…“  </w:t>
      </w:r>
    </w:p>
    <w:p w14:paraId="2BE16F47" w14:textId="77777777" w:rsidR="002B61A6" w:rsidRPr="002B61A6" w:rsidRDefault="002B61A6" w:rsidP="002B61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61A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04A9043" wp14:editId="678D1695">
                <wp:extent cx="5943600" cy="1270"/>
                <wp:effectExtent l="0" t="31750" r="0" b="36830"/>
                <wp:docPr id="11134835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0D856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276C9BE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B61A6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🧩</w:t>
      </w:r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10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Fälle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(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Fragen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→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Gruppenentscheidung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→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Lösung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)</w:t>
      </w:r>
    </w:p>
    <w:p w14:paraId="2226346C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EB5E822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Fall 1: „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Gelbe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Augen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dunkler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Urin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“ </w:t>
      </w:r>
      <w:r w:rsidRPr="002B61A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🟡</w:t>
      </w:r>
    </w:p>
    <w:p w14:paraId="1397231E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82AE34F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 xml:space="preserve">Situation: 38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Jahre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gelbe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Skleren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Augenweiß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dunkler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Urin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Müdigkeit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Juckreiz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. Kein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Fieber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105F0407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Palpationsdruck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rechten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Oberbauch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282A281B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4516A0C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Gruppenfragen</w:t>
      </w:r>
      <w:proofErr w:type="spellEnd"/>
    </w:p>
    <w:p w14:paraId="725E512E" w14:textId="77777777" w:rsidR="002B61A6" w:rsidRPr="002B61A6" w:rsidRDefault="002B61A6" w:rsidP="002B61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das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Leitsymptom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275D5776" w14:textId="77777777" w:rsidR="002B61A6" w:rsidRPr="002B61A6" w:rsidRDefault="002B61A6" w:rsidP="002B61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berufsbezogene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Verdachtsdiagnose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am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wahrscheinlichsten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42F1062F" w14:textId="77777777" w:rsidR="002B61A6" w:rsidRPr="002B61A6" w:rsidRDefault="002B61A6" w:rsidP="002B61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Nenne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zwei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33871B62" w14:textId="77777777" w:rsidR="002B61A6" w:rsidRPr="002B61A6" w:rsidRDefault="002B61A6" w:rsidP="002B61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5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Anamnese-Fragen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entscheiden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61323E10" w14:textId="77777777" w:rsidR="002B61A6" w:rsidRPr="002B61A6" w:rsidRDefault="002B61A6" w:rsidP="002B61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brauchst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du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nächstes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Notfallsetting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)?</w:t>
      </w:r>
    </w:p>
    <w:p w14:paraId="5F83E63E" w14:textId="77777777" w:rsidR="002B61A6" w:rsidRPr="002B61A6" w:rsidRDefault="002B61A6" w:rsidP="002B61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Kontraindikationen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musst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du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einem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Behandlungsvorschlag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prüfen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6224D115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975F66F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Lösung</w:t>
      </w:r>
      <w:proofErr w:type="spellEnd"/>
    </w:p>
    <w:p w14:paraId="7D7BD810" w14:textId="77777777" w:rsidR="002B61A6" w:rsidRPr="002B61A6" w:rsidRDefault="002B61A6" w:rsidP="002B61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lastRenderedPageBreak/>
        <w:t>Leitsymptom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Ikterus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Gelbfärbung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Skleren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 mit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Cholestase-Hinweis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Juckreiz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dunkler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Urin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</w:t>
      </w:r>
    </w:p>
    <w:p w14:paraId="131CD28E" w14:textId="77777777" w:rsidR="002B61A6" w:rsidRPr="002B61A6" w:rsidRDefault="002B61A6" w:rsidP="002B61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Cholestatischer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Ikterus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wahrscheinlich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Gallenabflussstörung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zum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Beispiel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Stein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Gallengang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</w:t>
      </w:r>
    </w:p>
    <w:p w14:paraId="53C644E9" w14:textId="77777777" w:rsidR="002B61A6" w:rsidRPr="002B61A6" w:rsidRDefault="002B61A6" w:rsidP="002B61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Virushepatitis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Leberentzündung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Leberzirrhose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Lebervernarbung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Gelbfärbung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Leberbezug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Blick-Leitsymptom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klassisch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.)  </w:t>
      </w:r>
    </w:p>
    <w:p w14:paraId="784E88BD" w14:textId="77777777" w:rsidR="002B61A6" w:rsidRPr="002B61A6" w:rsidRDefault="002B61A6" w:rsidP="002B61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: 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Stuhl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hell?“, „Neue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Medikamente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Nahrungsergänzungsmittel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?“, 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Alkohol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?“, 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Reisen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Infektionskontakte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?“, 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Kolikartige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Schmerzen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nach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Fettigem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?“</w:t>
      </w:r>
    </w:p>
    <w:p w14:paraId="77E0C2A7" w14:textId="77777777" w:rsidR="002B61A6" w:rsidRPr="002B61A6" w:rsidRDefault="002B61A6" w:rsidP="002B61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Leberwerte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Bilirubinfraktionen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Entzündungswerte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Ultraschall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Oberbauch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Gallenwege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erweitert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ja/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nein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</w:t>
      </w:r>
    </w:p>
    <w:p w14:paraId="04987496" w14:textId="77777777" w:rsidR="002B61A6" w:rsidRPr="002B61A6" w:rsidRDefault="002B61A6" w:rsidP="002B61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Kontraindikationen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Hepatotoxische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Substanzen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leberschädigende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Substanzen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vermeiden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; kein 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blindes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“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Ergänzen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Entgiften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Labor,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weil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Risiko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der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Verschlechterung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.  </w:t>
      </w:r>
    </w:p>
    <w:p w14:paraId="67BD51F7" w14:textId="77777777" w:rsidR="002B61A6" w:rsidRPr="002B61A6" w:rsidRDefault="002B61A6" w:rsidP="002B61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61A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AA82D78" wp14:editId="10E5182F">
                <wp:extent cx="5943600" cy="1270"/>
                <wp:effectExtent l="0" t="31750" r="0" b="36830"/>
                <wp:docPr id="186241338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8421BC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4FE68C3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Fall 2: „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Blass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müde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Belastungsluftnot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“ </w:t>
      </w:r>
      <w:r w:rsidRPr="002B61A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🤍</w:t>
      </w:r>
    </w:p>
    <w:p w14:paraId="0F060099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4519571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 xml:space="preserve">Situation: 26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Jahre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chronische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Müdigkeit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blass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Belastungsdyspnoe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Belastungsluftnot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brüchige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Nägel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78DF022A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Kein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Fieber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Herzfrequenz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leicht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erhöht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Blutdruck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normal.</w:t>
      </w:r>
    </w:p>
    <w:p w14:paraId="1E62F7AD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5C46969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Gruppenfragen</w:t>
      </w:r>
      <w:proofErr w:type="spellEnd"/>
    </w:p>
    <w:p w14:paraId="6B0CB882" w14:textId="77777777" w:rsidR="002B61A6" w:rsidRPr="002B61A6" w:rsidRDefault="002B61A6" w:rsidP="002B61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620F4B7C" w14:textId="77777777" w:rsidR="002B61A6" w:rsidRPr="002B61A6" w:rsidRDefault="002B61A6" w:rsidP="002B61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Zwei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7FCFC26A" w14:textId="77777777" w:rsidR="002B61A6" w:rsidRPr="002B61A6" w:rsidRDefault="002B61A6" w:rsidP="002B61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Pflicht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60624BB3" w14:textId="77777777" w:rsidR="002B61A6" w:rsidRPr="002B61A6" w:rsidRDefault="002B61A6" w:rsidP="002B61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bestätigen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kippen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den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35FF0126" w14:textId="77777777" w:rsidR="002B61A6" w:rsidRPr="002B61A6" w:rsidRDefault="002B61A6" w:rsidP="002B61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sicherer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Behandlungsvorschlag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12DBD098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5DE1D21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Lösung</w:t>
      </w:r>
      <w:proofErr w:type="spellEnd"/>
    </w:p>
    <w:p w14:paraId="05104087" w14:textId="77777777" w:rsidR="002B61A6" w:rsidRPr="002B61A6" w:rsidRDefault="002B61A6" w:rsidP="002B61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Anämie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Blutarmut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wahrscheinlich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Eisenmangelanämie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Blässe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Blick-Leitsymptom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.)  </w:t>
      </w:r>
    </w:p>
    <w:p w14:paraId="5B881DBC" w14:textId="77777777" w:rsidR="002B61A6" w:rsidRPr="002B61A6" w:rsidRDefault="002B61A6" w:rsidP="002B61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Hypothyreose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(Schilddrüsenunterfunktion), Depressive Episode.</w:t>
      </w:r>
    </w:p>
    <w:p w14:paraId="0FE992F6" w14:textId="77777777" w:rsidR="002B61A6" w:rsidRPr="002B61A6" w:rsidRDefault="002B61A6" w:rsidP="002B61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Menstruationsstärke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Ernährung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Blut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Stuhl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Magenbeschwerden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Schwangerschaft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Medikamente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zum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Beispiel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Säureblocker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</w:t>
      </w:r>
    </w:p>
    <w:p w14:paraId="0EB79CCB" w14:textId="77777777" w:rsidR="002B61A6" w:rsidRPr="002B61A6" w:rsidRDefault="002B61A6" w:rsidP="002B61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lastRenderedPageBreak/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Blutbild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Ferritin,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Transferrinsättigung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Retikulozyten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Thyreoidea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-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stimulierendes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Hormon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Schilddrüsensteuerhormon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</w:t>
      </w:r>
    </w:p>
    <w:p w14:paraId="3506DEC7" w14:textId="77777777" w:rsidR="002B61A6" w:rsidRPr="002B61A6" w:rsidRDefault="002B61A6" w:rsidP="002B61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Vorschlag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zuerst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dann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Ursachenbehandlung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zum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Beispiel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Eisenmangel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klären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 +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Ernährungsberatung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;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Kontraindikation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Eisen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„blind“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hochdosieren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Ursache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zum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Beispiel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okkulte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Blutung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).  </w:t>
      </w:r>
    </w:p>
    <w:p w14:paraId="639D599F" w14:textId="77777777" w:rsidR="002B61A6" w:rsidRPr="002B61A6" w:rsidRDefault="002B61A6" w:rsidP="002B61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61A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FDD7068" wp14:editId="2D2E1B80">
                <wp:extent cx="5943600" cy="1270"/>
                <wp:effectExtent l="0" t="31750" r="0" b="36830"/>
                <wp:docPr id="157996795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DBEF0C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6842718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Fall 3: „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Gewicht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rauf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friert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trockene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Haut“ </w:t>
      </w:r>
      <w:r w:rsidRPr="002B61A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🧊</w:t>
      </w:r>
    </w:p>
    <w:p w14:paraId="36DC80A3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43FBA8A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 xml:space="preserve">Situation: 45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Jahre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Gewichtszunahme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Kälteintoleranz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trockene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Haut,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Verstopfung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verlangsamtes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Denken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5BE42B5B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Puls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eher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langsam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5B601920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0B0BD04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Gruppenfragen</w:t>
      </w:r>
      <w:proofErr w:type="spellEnd"/>
    </w:p>
    <w:p w14:paraId="674FF481" w14:textId="77777777" w:rsidR="002B61A6" w:rsidRPr="002B61A6" w:rsidRDefault="002B61A6" w:rsidP="002B61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0163DF98" w14:textId="77777777" w:rsidR="002B61A6" w:rsidRPr="002B61A6" w:rsidRDefault="002B61A6" w:rsidP="002B61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Zwei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6F857ED1" w14:textId="77777777" w:rsidR="002B61A6" w:rsidRPr="002B61A6" w:rsidRDefault="002B61A6" w:rsidP="002B61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5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Fragen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6F5F0565" w14:textId="77777777" w:rsidR="002B61A6" w:rsidRPr="002B61A6" w:rsidRDefault="002B61A6" w:rsidP="002B61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Basisbefunde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2B5EE775" w14:textId="77777777" w:rsidR="002B61A6" w:rsidRPr="002B61A6" w:rsidRDefault="002B61A6" w:rsidP="002B61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nicht-gefährdender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Vorschlag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72E23F67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CA752B1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Lösung</w:t>
      </w:r>
      <w:proofErr w:type="spellEnd"/>
    </w:p>
    <w:p w14:paraId="6A1C4F4D" w14:textId="77777777" w:rsidR="002B61A6" w:rsidRPr="002B61A6" w:rsidRDefault="002B61A6" w:rsidP="002B61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Hypothyreose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(Schilddrüsenunterfunktion).</w:t>
      </w:r>
    </w:p>
    <w:p w14:paraId="5B1B38AE" w14:textId="77777777" w:rsidR="002B61A6" w:rsidRPr="002B61A6" w:rsidRDefault="002B61A6" w:rsidP="002B61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Depressive Episode,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Nebenwirkung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Medikamenten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zum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Beispiel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Beruhigungsmittel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</w:t>
      </w:r>
    </w:p>
    <w:p w14:paraId="3E5A40C8" w14:textId="77777777" w:rsidR="002B61A6" w:rsidRPr="002B61A6" w:rsidRDefault="002B61A6" w:rsidP="002B61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Schilddrüsenoperation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Autoimmunerkrankungen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Familie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Zyklusveränderungen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Medikamentenliste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Beginn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Verlauf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2773FCC5" w14:textId="77777777" w:rsidR="002B61A6" w:rsidRPr="002B61A6" w:rsidRDefault="002B61A6" w:rsidP="002B61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Thyreoidea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-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stimulierendes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Hormon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Schilddrüsensteuerhormon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freies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Thyroxin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Schilddrüsenhormon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Antikörper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Autoimmunthyreoiditis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Hashimoto-Thyreoiditis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</w:t>
      </w:r>
    </w:p>
    <w:p w14:paraId="27B4C951" w14:textId="77777777" w:rsidR="002B61A6" w:rsidRPr="002B61A6" w:rsidRDefault="002B61A6" w:rsidP="002B61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Vorschlag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veranlassen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begleiten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zum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Beispiel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ballaststoffreich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Schlafhygiene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eigenmächtige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Schilddrüsen-Kuren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“.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Kontraindikation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Jod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/„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Stoffwechsel-Booster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“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Diagnose.  </w:t>
      </w:r>
    </w:p>
    <w:p w14:paraId="5D9BE14B" w14:textId="77777777" w:rsidR="002B61A6" w:rsidRPr="002B61A6" w:rsidRDefault="002B61A6" w:rsidP="002B61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61A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CE1CF8C" wp14:editId="5DE403BA">
                <wp:extent cx="5943600" cy="1270"/>
                <wp:effectExtent l="0" t="31750" r="0" b="36830"/>
                <wp:docPr id="128969104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6B08E4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01EF547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Fall 4: „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Roter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Schmetterling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Gesicht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Gelenke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tun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weh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“ </w:t>
      </w:r>
      <w:r w:rsidRPr="002B61A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🦋</w:t>
      </w:r>
    </w:p>
    <w:p w14:paraId="7EB4885F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EE08DB5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 xml:space="preserve">Situation: 29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Jahre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symmetrische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Gelenkschmerzen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Müdigkeit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Photosensitivität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Lichtempfindlichkeit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rötlicher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Ausschlag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über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Nasenrücken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und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Wangen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37A959DB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Kein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Fieber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wechselnde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Beschwerden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76E8FF32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3931CCB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Gruppenfragen</w:t>
      </w:r>
      <w:proofErr w:type="spellEnd"/>
    </w:p>
    <w:p w14:paraId="1DC48CB6" w14:textId="77777777" w:rsidR="002B61A6" w:rsidRPr="002B61A6" w:rsidRDefault="002B61A6" w:rsidP="002B61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1856EA5A" w14:textId="77777777" w:rsidR="002B61A6" w:rsidRPr="002B61A6" w:rsidRDefault="002B61A6" w:rsidP="002B61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Zwei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59693611" w14:textId="77777777" w:rsidR="002B61A6" w:rsidRPr="002B61A6" w:rsidRDefault="002B61A6" w:rsidP="002B61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musst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du in der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zwingend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abfragen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344C0CEF" w14:textId="77777777" w:rsidR="002B61A6" w:rsidRPr="002B61A6" w:rsidRDefault="002B61A6" w:rsidP="002B61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typisch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6498EFBC" w14:textId="77777777" w:rsidR="002B61A6" w:rsidRPr="002B61A6" w:rsidRDefault="002B61A6" w:rsidP="002B61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Kontraindikationen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Vorschlägen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5A31E101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691B7CF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Lösung</w:t>
      </w:r>
      <w:proofErr w:type="spellEnd"/>
    </w:p>
    <w:p w14:paraId="5F454EDF" w14:textId="77777777" w:rsidR="002B61A6" w:rsidRPr="002B61A6" w:rsidRDefault="002B61A6" w:rsidP="002B61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Systemischer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Lupus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erythematodes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Autoimmunerkrankung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Rötung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und Lupus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Blick-Leitsymptomgruppe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.)  </w:t>
      </w:r>
    </w:p>
    <w:p w14:paraId="00EFB694" w14:textId="77777777" w:rsidR="002B61A6" w:rsidRPr="002B61A6" w:rsidRDefault="002B61A6" w:rsidP="002B61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Rosazea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chronische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Gesichtsrötung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), Dermatomyositis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entzündliche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Muskel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-/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Hauterkrankung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).  </w:t>
      </w:r>
    </w:p>
    <w:p w14:paraId="073BFF05" w14:textId="77777777" w:rsidR="002B61A6" w:rsidRPr="002B61A6" w:rsidRDefault="002B61A6" w:rsidP="002B61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Nierenzeichen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Schaumurin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Raynaud-Phänomen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(Weiß-Blau-Rot der Finger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Kälte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Thrombosen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Schwangerschaftsfragen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Medikamente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Sonnenexposition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23B31F96" w14:textId="77777777" w:rsidR="002B61A6" w:rsidRPr="002B61A6" w:rsidRDefault="002B61A6" w:rsidP="002B61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Antinukleäre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Antikörper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Anti-doppelsträngige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Desoxyribonukleinsäure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Komplement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Urinstatus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29CF8862" w14:textId="77777777" w:rsidR="002B61A6" w:rsidRPr="002B61A6" w:rsidRDefault="002B61A6" w:rsidP="002B61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Kontraindikationen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Immunsystem-Stimulation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“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Diagnose;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Photoschutz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empfehlen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.  </w:t>
      </w:r>
    </w:p>
    <w:p w14:paraId="19AFF35B" w14:textId="77777777" w:rsidR="002B61A6" w:rsidRPr="002B61A6" w:rsidRDefault="002B61A6" w:rsidP="002B61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61A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F6FD68F" wp14:editId="5086D336">
                <wp:extent cx="5943600" cy="1270"/>
                <wp:effectExtent l="0" t="31750" r="0" b="36830"/>
                <wp:docPr id="204896785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5118A1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E179A6E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Fall 5: „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Dunkle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Flecken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am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Nacken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Heißhunger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“ </w:t>
      </w:r>
      <w:r w:rsidRPr="002B61A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🍩</w:t>
      </w:r>
    </w:p>
    <w:p w14:paraId="3A8C17CF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B7A37FB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 xml:space="preserve">Situation: 41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Jahre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Müdigkeit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nach Essen,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Heißhunger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Gewichtszunahme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; am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Nacken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samtige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dunkle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Hautverfärbung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0AC256E7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lastRenderedPageBreak/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Blutdruck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grenzwertig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5C8C90AB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796C52B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Gruppenfragen</w:t>
      </w:r>
      <w:proofErr w:type="spellEnd"/>
    </w:p>
    <w:p w14:paraId="0E16BC52" w14:textId="77777777" w:rsidR="002B61A6" w:rsidRPr="002B61A6" w:rsidRDefault="002B61A6" w:rsidP="002B61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19434406" w14:textId="77777777" w:rsidR="002B61A6" w:rsidRPr="002B61A6" w:rsidRDefault="002B61A6" w:rsidP="002B61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Zwei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4495506E" w14:textId="77777777" w:rsidR="002B61A6" w:rsidRPr="002B61A6" w:rsidRDefault="002B61A6" w:rsidP="002B61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Anamnese-Punkte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entscheidend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2F3B52EB" w14:textId="77777777" w:rsidR="002B61A6" w:rsidRPr="002B61A6" w:rsidRDefault="002B61A6" w:rsidP="002B61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11E8DBBD" w14:textId="77777777" w:rsidR="002B61A6" w:rsidRPr="002B61A6" w:rsidRDefault="002B61A6" w:rsidP="002B61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Sicherer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Vorschlag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2D429763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EB66D81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Lösung</w:t>
      </w:r>
      <w:proofErr w:type="spellEnd"/>
    </w:p>
    <w:p w14:paraId="6793E512" w14:textId="77777777" w:rsidR="002B61A6" w:rsidRPr="002B61A6" w:rsidRDefault="002B61A6" w:rsidP="002B61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Insulinresistenz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mit Diabetes mellitus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Typ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2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Zuckerkrankheit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Typ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2); die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Hautveränderung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passt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Acanthosis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nigricans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samtige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Hyperpigmentierung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klinisches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Zeichen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2FC7E371" w14:textId="77777777" w:rsidR="002B61A6" w:rsidRPr="002B61A6" w:rsidRDefault="002B61A6" w:rsidP="002B61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Cushing-Syndrom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Hypothyreose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(Schilddrüsenunterfunktion). (Cushing und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Diabetes-Bezug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Blick-Kontexten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häufig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.)  </w:t>
      </w:r>
    </w:p>
    <w:p w14:paraId="226D4237" w14:textId="77777777" w:rsidR="002B61A6" w:rsidRPr="002B61A6" w:rsidRDefault="002B61A6" w:rsidP="002B61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Familienanamnese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Diabetes,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Bewegungsprofil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Schlaf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Medikamente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zum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Beispiel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Kortison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), Durst/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Harndrang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neuropathische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Beschwerden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5491FB7D" w14:textId="77777777" w:rsidR="002B61A6" w:rsidRPr="002B61A6" w:rsidRDefault="002B61A6" w:rsidP="002B61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Nüchternblutzucker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Glykiertes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Hämoglobin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Lipide,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Leberwerte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Blutdruckprofil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7F69DD7F" w14:textId="77777777" w:rsidR="002B61A6" w:rsidRPr="002B61A6" w:rsidRDefault="002B61A6" w:rsidP="002B61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Vorschlag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Lebensstil-Plan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Verlaufskontrolle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;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Kontraindikation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extreme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Crash-Diäten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Monitoring.  </w:t>
      </w:r>
    </w:p>
    <w:p w14:paraId="1B635157" w14:textId="77777777" w:rsidR="002B61A6" w:rsidRPr="002B61A6" w:rsidRDefault="002B61A6" w:rsidP="002B61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61A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F619F59" wp14:editId="3F2B0647">
                <wp:extent cx="5943600" cy="1270"/>
                <wp:effectExtent l="0" t="31750" r="0" b="36830"/>
                <wp:docPr id="152145196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42958A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C34485A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Fall 6: „Brennen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beim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Wasserlassen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häufiger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Harndrang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“ </w:t>
      </w:r>
      <w:r w:rsidRPr="002B61A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🚻</w:t>
      </w:r>
    </w:p>
    <w:p w14:paraId="0CC8850E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3A53432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 xml:space="preserve">Situation: 33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Jahre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Dysurie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Schmerzen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Wasserlassen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Pollakisurie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häufiges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Wasserlassen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suprapubischer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Druck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73D007ED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Kein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Fieber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0ECCFDEC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935ECB9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Gruppenfragen</w:t>
      </w:r>
      <w:proofErr w:type="spellEnd"/>
    </w:p>
    <w:p w14:paraId="54C75291" w14:textId="77777777" w:rsidR="002B61A6" w:rsidRPr="002B61A6" w:rsidRDefault="002B61A6" w:rsidP="002B61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7DB76AF3" w14:textId="77777777" w:rsidR="002B61A6" w:rsidRPr="002B61A6" w:rsidRDefault="002B61A6" w:rsidP="002B61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lastRenderedPageBreak/>
        <w:t>Zwei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008EEA29" w14:textId="77777777" w:rsidR="002B61A6" w:rsidRPr="002B61A6" w:rsidRDefault="002B61A6" w:rsidP="002B61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 xml:space="preserve">5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Anamnese-Fragen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05B9E05E" w14:textId="77777777" w:rsidR="002B61A6" w:rsidRPr="002B61A6" w:rsidRDefault="002B61A6" w:rsidP="002B61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46E135D7" w14:textId="77777777" w:rsidR="002B61A6" w:rsidRPr="002B61A6" w:rsidRDefault="002B61A6" w:rsidP="002B61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Kontraindikationen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48DB4738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F4803DD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Lösung</w:t>
      </w:r>
      <w:proofErr w:type="spellEnd"/>
    </w:p>
    <w:p w14:paraId="28C90AEE" w14:textId="77777777" w:rsidR="002B61A6" w:rsidRPr="002B61A6" w:rsidRDefault="002B61A6" w:rsidP="002B61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Unkomplizierte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Zystitis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Blasenentzündung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</w:t>
      </w:r>
    </w:p>
    <w:p w14:paraId="43B5178A" w14:textId="77777777" w:rsidR="002B61A6" w:rsidRPr="002B61A6" w:rsidRDefault="002B61A6" w:rsidP="002B61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: Vaginitis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Scheidenentzündung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), Urolithiasis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Harnsteinleiden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</w:t>
      </w:r>
    </w:p>
    <w:p w14:paraId="1554E320" w14:textId="77777777" w:rsidR="002B61A6" w:rsidRPr="002B61A6" w:rsidRDefault="002B61A6" w:rsidP="002B61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Schwangerschaft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Flankenschmerz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Fieber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Blut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Urin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neue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Sexualkontakte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Vorinfekte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7499FBDE" w14:textId="77777777" w:rsidR="002B61A6" w:rsidRPr="002B61A6" w:rsidRDefault="002B61A6" w:rsidP="002B61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Urinstatus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ggf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Urinkultur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Rezidiven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52606B29" w14:textId="77777777" w:rsidR="002B61A6" w:rsidRPr="002B61A6" w:rsidRDefault="002B61A6" w:rsidP="002B61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Kontraindikationen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Wärme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abwarten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“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Flankenschmerz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Fieber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Hinweis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Nierenbeckenentzündung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unkritische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Antibiotikawahl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Kriterien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.  </w:t>
      </w:r>
    </w:p>
    <w:p w14:paraId="57FBD2F1" w14:textId="77777777" w:rsidR="002B61A6" w:rsidRPr="002B61A6" w:rsidRDefault="002B61A6" w:rsidP="002B61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61A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09CAFAD" wp14:editId="460C708A">
                <wp:extent cx="5943600" cy="1270"/>
                <wp:effectExtent l="0" t="31750" r="0" b="36830"/>
                <wp:docPr id="14289931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0AA62C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2D85997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Fall 7: „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Plötzliche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Haarzunahme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Akne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Zyklus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unregelmäßig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“ ♀️</w:t>
      </w:r>
    </w:p>
    <w:p w14:paraId="70F1E13A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A5A5327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 xml:space="preserve">Situation: 24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Jahre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Hirsutismus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männliches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Behaarungsmuster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Akne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Zyklus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unregelmäßig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Gewicht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schwankt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4634B3FE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Schmerzen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6EE9F348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0271375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Gruppenfragen</w:t>
      </w:r>
      <w:proofErr w:type="spellEnd"/>
    </w:p>
    <w:p w14:paraId="1622448D" w14:textId="77777777" w:rsidR="002B61A6" w:rsidRPr="002B61A6" w:rsidRDefault="002B61A6" w:rsidP="002B61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3BAC8EEB" w14:textId="77777777" w:rsidR="002B61A6" w:rsidRPr="002B61A6" w:rsidRDefault="002B61A6" w:rsidP="002B61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Zwei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65F3A1F7" w14:textId="77777777" w:rsidR="002B61A6" w:rsidRPr="002B61A6" w:rsidRDefault="002B61A6" w:rsidP="002B61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4E995D57" w14:textId="77777777" w:rsidR="002B61A6" w:rsidRPr="002B61A6" w:rsidRDefault="002B61A6" w:rsidP="002B61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6C9EBFEC" w14:textId="77777777" w:rsidR="002B61A6" w:rsidRPr="002B61A6" w:rsidRDefault="002B61A6" w:rsidP="002B61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sicher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empfehlen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2135C177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64BA7F5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Lösung</w:t>
      </w:r>
      <w:proofErr w:type="spellEnd"/>
    </w:p>
    <w:p w14:paraId="3F771E8C" w14:textId="77777777" w:rsidR="002B61A6" w:rsidRPr="002B61A6" w:rsidRDefault="002B61A6" w:rsidP="002B61A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Polyzystisches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Ovarialsyndrom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hormonelle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Störung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</w:t>
      </w:r>
    </w:p>
    <w:p w14:paraId="57DBB1B5" w14:textId="77777777" w:rsidR="002B61A6" w:rsidRPr="002B61A6" w:rsidRDefault="002B61A6" w:rsidP="002B61A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lastRenderedPageBreak/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Cushing-Syndrom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Androgenproduzierender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Tumor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zum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Beispiel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Ovarialtumor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Hirsutismus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paraneoplastisch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sein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).  </w:t>
      </w:r>
    </w:p>
    <w:p w14:paraId="223D4638" w14:textId="77777777" w:rsidR="002B61A6" w:rsidRPr="002B61A6" w:rsidRDefault="002B61A6" w:rsidP="002B61A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Beginn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rasch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langsam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Medikamentenanamnese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Kinderwunsch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Gewichtsverlauf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Zeichen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Virilisierung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Stimmvertiefung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</w:t>
      </w:r>
    </w:p>
    <w:p w14:paraId="23BBA78A" w14:textId="77777777" w:rsidR="002B61A6" w:rsidRPr="002B61A6" w:rsidRDefault="002B61A6" w:rsidP="002B61A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Androgene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Luteinisierendes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Hormon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Follikelstimulierendes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Hormon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Prolaktin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Thyreoidea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-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stimulierendes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Hormon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Ultraschall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711720C3" w14:textId="77777777" w:rsidR="002B61A6" w:rsidRPr="002B61A6" w:rsidRDefault="002B61A6" w:rsidP="002B61A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Vorschlag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+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Lebensstil-Beratung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;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Kontraindikation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: 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Hormon-Selbstmedikation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“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Abklärung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.  </w:t>
      </w:r>
    </w:p>
    <w:p w14:paraId="1F50CB8F" w14:textId="77777777" w:rsidR="002B61A6" w:rsidRPr="002B61A6" w:rsidRDefault="002B61A6" w:rsidP="002B61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61A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6463F2A" wp14:editId="2FF210B7">
                <wp:extent cx="5943600" cy="1270"/>
                <wp:effectExtent l="0" t="31750" r="0" b="36830"/>
                <wp:docPr id="13511916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89DD2F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99DE405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Fall 8: „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Schwellung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am Hals,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Druckgefühl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“ </w:t>
      </w:r>
      <w:r w:rsidRPr="002B61A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🧣</w:t>
      </w:r>
    </w:p>
    <w:p w14:paraId="39418110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1011636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 xml:space="preserve">Situation: 52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Jahre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sichtbare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Schwellung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am Hals,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Druckgefühl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gelegentliche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Heiserkeit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41BDCF76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Schmerzen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Infektzeichen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29CCC466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F97516D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Gruppenfragen</w:t>
      </w:r>
      <w:proofErr w:type="spellEnd"/>
    </w:p>
    <w:p w14:paraId="5B1B8A4D" w14:textId="77777777" w:rsidR="002B61A6" w:rsidRPr="002B61A6" w:rsidRDefault="002B61A6" w:rsidP="002B61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4A95A5A8" w14:textId="77777777" w:rsidR="002B61A6" w:rsidRPr="002B61A6" w:rsidRDefault="002B61A6" w:rsidP="002B61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Zwei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6A00F745" w14:textId="77777777" w:rsidR="002B61A6" w:rsidRPr="002B61A6" w:rsidRDefault="002B61A6" w:rsidP="002B61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421AF8B8" w14:textId="77777777" w:rsidR="002B61A6" w:rsidRPr="002B61A6" w:rsidRDefault="002B61A6" w:rsidP="002B61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1FC47ED7" w14:textId="77777777" w:rsidR="002B61A6" w:rsidRPr="002B61A6" w:rsidRDefault="002B61A6" w:rsidP="002B61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Kontraindikationen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5042C955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D32A9CE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Lösung</w:t>
      </w:r>
      <w:proofErr w:type="spellEnd"/>
    </w:p>
    <w:p w14:paraId="0BA91B35" w14:textId="77777777" w:rsidR="002B61A6" w:rsidRPr="002B61A6" w:rsidRDefault="002B61A6" w:rsidP="002B61A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Struma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Schilddrüsenvergrößerung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Formveränderung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Struma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Blick-Leitsymptom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.)  </w:t>
      </w:r>
    </w:p>
    <w:p w14:paraId="71856BC9" w14:textId="77777777" w:rsidR="002B61A6" w:rsidRPr="002B61A6" w:rsidRDefault="002B61A6" w:rsidP="002B61A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Schilddrüsenknoten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Schilddrüsenmalignom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bösartige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Schilddrüsenerkrankung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).  </w:t>
      </w:r>
    </w:p>
    <w:p w14:paraId="2684EC51" w14:textId="77777777" w:rsidR="002B61A6" w:rsidRPr="002B61A6" w:rsidRDefault="002B61A6" w:rsidP="002B61A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Heiserkeit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Schluckstörung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Gewichtsveränderung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Wärmeintoleranz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Kälteintoleranz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Jodexposition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Familienanamnese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546AA149" w14:textId="77777777" w:rsidR="002B61A6" w:rsidRPr="002B61A6" w:rsidRDefault="002B61A6" w:rsidP="002B61A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Thyreoidea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-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stimulierendes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Hormon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Ultraschall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ggf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Szintigraphie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ärztlich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Knoten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Feinnadelpunktion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ärztlich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</w:t>
      </w:r>
    </w:p>
    <w:p w14:paraId="19BA60C3" w14:textId="77777777" w:rsidR="002B61A6" w:rsidRPr="002B61A6" w:rsidRDefault="002B61A6" w:rsidP="002B61A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Kontraindikation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hochdosierte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Jodgabe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Diagnostik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kann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Überfunktion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triggern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).  </w:t>
      </w:r>
    </w:p>
    <w:p w14:paraId="1E1EDA41" w14:textId="77777777" w:rsidR="002B61A6" w:rsidRPr="002B61A6" w:rsidRDefault="002B61A6" w:rsidP="002B61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61A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47809E1" wp14:editId="3C1FEEEE">
                <wp:extent cx="5943600" cy="1270"/>
                <wp:effectExtent l="0" t="31750" r="0" b="36830"/>
                <wp:docPr id="4406902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9C0B79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0A7B90C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Fall 9: „Magen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brennt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nachts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schlimmer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“ </w:t>
      </w:r>
      <w:r w:rsidRPr="002B61A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🔥</w:t>
      </w:r>
    </w:p>
    <w:p w14:paraId="5D72B522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49BC6E6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 xml:space="preserve">Situation: 47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Jahre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epigastrisches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Brennen,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nachts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schlimmer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besser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nach Essen;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gelegentlich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Übelkeit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372A2E76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Gewichtsverlust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nein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68453497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1FF68E3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Gruppenfragen</w:t>
      </w:r>
      <w:proofErr w:type="spellEnd"/>
    </w:p>
    <w:p w14:paraId="7E6792BE" w14:textId="77777777" w:rsidR="002B61A6" w:rsidRPr="002B61A6" w:rsidRDefault="002B61A6" w:rsidP="002B61A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667591C3" w14:textId="77777777" w:rsidR="002B61A6" w:rsidRPr="002B61A6" w:rsidRDefault="002B61A6" w:rsidP="002B61A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Zwei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4765C0BA" w14:textId="77777777" w:rsidR="002B61A6" w:rsidRPr="002B61A6" w:rsidRDefault="002B61A6" w:rsidP="002B61A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259F8613" w14:textId="77777777" w:rsidR="002B61A6" w:rsidRPr="002B61A6" w:rsidRDefault="002B61A6" w:rsidP="002B61A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73E74CF5" w14:textId="77777777" w:rsidR="002B61A6" w:rsidRPr="002B61A6" w:rsidRDefault="002B61A6" w:rsidP="002B61A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Kontraindikationen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0B804CD7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41094EB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Lösung</w:t>
      </w:r>
      <w:proofErr w:type="spellEnd"/>
    </w:p>
    <w:p w14:paraId="1B2DD9C9" w14:textId="77777777" w:rsidR="002B61A6" w:rsidRPr="002B61A6" w:rsidRDefault="002B61A6" w:rsidP="002B61A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Ulkuskrankheit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Magengeschwür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Zwölffingerdarmgeschwür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 oder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Gastroösophageale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Refluxkrankheit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Rückfluss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von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Magensäure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</w:t>
      </w:r>
    </w:p>
    <w:p w14:paraId="4908A266" w14:textId="77777777" w:rsidR="002B61A6" w:rsidRPr="002B61A6" w:rsidRDefault="002B61A6" w:rsidP="002B61A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Gallenblasenproblem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Funktionelle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Dyspepsie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Reizmagen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</w:t>
      </w:r>
    </w:p>
    <w:p w14:paraId="6B4B0D9A" w14:textId="77777777" w:rsidR="002B61A6" w:rsidRPr="002B61A6" w:rsidRDefault="002B61A6" w:rsidP="002B61A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Schmerzbeziehung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zu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Nahrung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nichtsteroidale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Antirheumatika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zum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Beispiel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Ibuprofen),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Alkohol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Rauchen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Teerstuhl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frühe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Sättigung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3955B206" w14:textId="77777777" w:rsidR="002B61A6" w:rsidRPr="002B61A6" w:rsidRDefault="002B61A6" w:rsidP="002B61A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Test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auf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Helicobacter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pylori,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Blutbild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Blutungsverdacht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ggf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Endoskopie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ärztlich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</w:t>
      </w:r>
    </w:p>
    <w:p w14:paraId="279B6B5F" w14:textId="77777777" w:rsidR="002B61A6" w:rsidRPr="002B61A6" w:rsidRDefault="002B61A6" w:rsidP="002B61A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Kontraindikation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keine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Dauer-Selbsttherapie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ohne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Abklärung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Alarmzeichen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Gewichtsverlust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Blut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Stuhl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Dysphagie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Schluckstörung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)).  </w:t>
      </w:r>
    </w:p>
    <w:p w14:paraId="1072D12A" w14:textId="77777777" w:rsidR="002B61A6" w:rsidRPr="002B61A6" w:rsidRDefault="002B61A6" w:rsidP="002B61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61A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01DF368" wp14:editId="080FB98C">
                <wp:extent cx="5943600" cy="1270"/>
                <wp:effectExtent l="0" t="31750" r="0" b="36830"/>
                <wp:docPr id="3961086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9E18A5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FCEEDD5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Fall 10: „Lila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Netzzeichnung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an den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Beinen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“ </w:t>
      </w:r>
      <w:r w:rsidRPr="002B61A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🕸️</w:t>
      </w:r>
    </w:p>
    <w:p w14:paraId="6086D959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04D046C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 xml:space="preserve">Situation: 36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Jahre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livide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netzartige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Hautzeichnung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an den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Unterschenkeln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Livedo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Kopfschmerzen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gelegentlich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Sehstörungen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15AF7BF4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Blutdruck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leicht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erhöht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0832F585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601936F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Gruppenfragen</w:t>
      </w:r>
      <w:proofErr w:type="spellEnd"/>
    </w:p>
    <w:p w14:paraId="2581D1EF" w14:textId="77777777" w:rsidR="002B61A6" w:rsidRPr="002B61A6" w:rsidRDefault="002B61A6" w:rsidP="002B61A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005F71AE" w14:textId="77777777" w:rsidR="002B61A6" w:rsidRPr="002B61A6" w:rsidRDefault="002B61A6" w:rsidP="002B61A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Zwei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6898C7FF" w14:textId="77777777" w:rsidR="002B61A6" w:rsidRPr="002B61A6" w:rsidRDefault="002B61A6" w:rsidP="002B61A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483D6CC9" w14:textId="77777777" w:rsidR="002B61A6" w:rsidRPr="002B61A6" w:rsidRDefault="002B61A6" w:rsidP="002B61A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77833980" w14:textId="77777777" w:rsidR="002B61A6" w:rsidRPr="002B61A6" w:rsidRDefault="002B61A6" w:rsidP="002B61A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 xml:space="preserve">Was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ein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sicherer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Vorschlag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</w:t>
      </w:r>
    </w:p>
    <w:p w14:paraId="0041E594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B111ED3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2B61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Lösung</w:t>
      </w:r>
      <w:proofErr w:type="spellEnd"/>
    </w:p>
    <w:p w14:paraId="5AD89078" w14:textId="77777777" w:rsidR="002B61A6" w:rsidRPr="002B61A6" w:rsidRDefault="002B61A6" w:rsidP="002B61A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Vaskuläres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oder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autoimmunes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Geschehen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zum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Beispiel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Sneddon-Syndrom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ist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Blickdiagnostik-Listen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Rötung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Formveränderung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Netzzeichnung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vertreten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).  </w:t>
      </w:r>
    </w:p>
    <w:p w14:paraId="412B3192" w14:textId="77777777" w:rsidR="002B61A6" w:rsidRPr="002B61A6" w:rsidRDefault="002B61A6" w:rsidP="002B61A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Vaskulitis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Gefäßentzündung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Antiphospholipid-Syndrom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Gerinnungsstörung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</w:t>
      </w:r>
    </w:p>
    <w:p w14:paraId="3119900C" w14:textId="77777777" w:rsidR="002B61A6" w:rsidRPr="002B61A6" w:rsidRDefault="002B61A6" w:rsidP="002B61A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Anamnese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Thrombosen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Fehlgeburten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Migräne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/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neurologische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Symptome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Rauchen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hormonelle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Kontrazeptiva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.</w:t>
      </w:r>
    </w:p>
    <w:p w14:paraId="3CB7E650" w14:textId="77777777" w:rsidR="002B61A6" w:rsidRPr="002B61A6" w:rsidRDefault="002B61A6" w:rsidP="002B61A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Gerinnungsdiagnostik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Autoantikörper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Gefäßdiagnostik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ärztlich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).</w:t>
      </w:r>
    </w:p>
    <w:p w14:paraId="760B6F9D" w14:textId="77777777" w:rsidR="002B61A6" w:rsidRPr="002B61A6" w:rsidRDefault="002B61A6" w:rsidP="002B61A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Vorschlag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: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ärztliche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Abklärung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aufgrund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neurologischer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Begleitsymptome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;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Kontraindikation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: 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nur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Kosmetik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“ (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weil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Systemerkrankung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möglich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).  </w:t>
      </w:r>
    </w:p>
    <w:p w14:paraId="2FC5D119" w14:textId="77777777" w:rsidR="002B61A6" w:rsidRPr="002B61A6" w:rsidRDefault="002B61A6" w:rsidP="002B61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61A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E4DDE63" wp14:editId="6C597472">
                <wp:extent cx="5943600" cy="1270"/>
                <wp:effectExtent l="0" t="31750" r="0" b="36830"/>
                <wp:docPr id="20589446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5066A1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2F377AF" w14:textId="77777777" w:rsidR="002B61A6" w:rsidRPr="002B61A6" w:rsidRDefault="002B61A6" w:rsidP="002B61A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B61A6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👥</w:t>
      </w:r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Gruppen-Interaktion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: 12 „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Angriffsfragen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“ </w:t>
      </w:r>
      <w:proofErr w:type="spellStart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für</w:t>
      </w:r>
      <w:proofErr w:type="spellEnd"/>
      <w:r w:rsidRPr="002B61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Disputation </w:t>
      </w:r>
      <w:r w:rsidRPr="002B61A6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🗣️⚔️</w:t>
      </w:r>
    </w:p>
    <w:p w14:paraId="614358FA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FB957F1" w14:textId="77777777" w:rsidR="002B61A6" w:rsidRPr="002B61A6" w:rsidRDefault="002B61A6" w:rsidP="002B61A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Nutze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pro Fall 3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davon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:</w:t>
      </w:r>
    </w:p>
    <w:p w14:paraId="346FB2AF" w14:textId="77777777" w:rsidR="002B61A6" w:rsidRPr="002B61A6" w:rsidRDefault="002B61A6" w:rsidP="002B61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zwei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Differentialdiagnosen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sind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gefährlicher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als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euer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Hauptverdacht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?“</w:t>
      </w:r>
    </w:p>
    <w:p w14:paraId="3C26C043" w14:textId="77777777" w:rsidR="002B61A6" w:rsidRPr="002B61A6" w:rsidRDefault="002B61A6" w:rsidP="002B61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Befunde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würden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eure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Entscheidung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sofort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kippen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>?“</w:t>
      </w:r>
    </w:p>
    <w:p w14:paraId="35AA9844" w14:textId="79C63211" w:rsidR="002B61A6" w:rsidRPr="002B61A6" w:rsidRDefault="002B61A6" w:rsidP="002B61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B61A6">
        <w:rPr>
          <w:rFonts w:ascii="Times New Roman" w:hAnsi="Times New Roman" w:cs="Times New Roman"/>
          <w:kern w:val="0"/>
          <w14:ligatures w14:val="none"/>
        </w:rPr>
        <w:t>„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Welche</w:t>
      </w:r>
      <w:proofErr w:type="spellEnd"/>
      <w:r w:rsidRPr="002B61A6">
        <w:rPr>
          <w:rFonts w:ascii="Times New Roman" w:hAnsi="Times New Roman" w:cs="Times New Roman"/>
          <w:kern w:val="0"/>
          <w14:ligatures w14:val="none"/>
        </w:rPr>
        <w:t xml:space="preserve"> **</w:t>
      </w:r>
      <w:proofErr w:type="spellStart"/>
      <w:r w:rsidRPr="002B61A6">
        <w:rPr>
          <w:rFonts w:ascii="Times New Roman" w:hAnsi="Times New Roman" w:cs="Times New Roman"/>
          <w:kern w:val="0"/>
          <w14:ligatures w14:val="none"/>
        </w:rPr>
        <w:t>Kontra</w:t>
      </w:r>
      <w:r w:rsidR="00041B1F">
        <w:rPr>
          <w:rFonts w:ascii="Times New Roman" w:hAnsi="Times New Roman" w:cs="Times New Roman"/>
          <w:kern w:val="0"/>
          <w14:ligatures w14:val="none"/>
        </w:rPr>
        <w:t>in</w:t>
      </w:r>
      <w:r w:rsidR="00040311">
        <w:rPr>
          <w:rFonts w:ascii="Times New Roman" w:hAnsi="Times New Roman" w:cs="Times New Roman"/>
          <w:kern w:val="0"/>
          <w14:ligatures w14:val="none"/>
        </w:rPr>
        <w:t>dikationen</w:t>
      </w:r>
      <w:proofErr w:type="spellEnd"/>
    </w:p>
    <w:p w14:paraId="4B5A2956" w14:textId="77777777" w:rsidR="005B5FB4" w:rsidRDefault="005B5FB4"/>
    <w:sectPr w:rsidR="005B5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11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01EE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139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B008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20DB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E548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5190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8605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04F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23161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47364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ED6C6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81723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A209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81E5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A64F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5D3F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EE7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E857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3E7B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0254A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743D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BD205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08682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484560">
    <w:abstractNumId w:val="14"/>
  </w:num>
  <w:num w:numId="2" w16cid:durableId="1902791760">
    <w:abstractNumId w:val="6"/>
  </w:num>
  <w:num w:numId="3" w16cid:durableId="2043509679">
    <w:abstractNumId w:val="21"/>
  </w:num>
  <w:num w:numId="4" w16cid:durableId="809638431">
    <w:abstractNumId w:val="16"/>
  </w:num>
  <w:num w:numId="5" w16cid:durableId="1706636515">
    <w:abstractNumId w:val="19"/>
  </w:num>
  <w:num w:numId="6" w16cid:durableId="375666841">
    <w:abstractNumId w:val="11"/>
  </w:num>
  <w:num w:numId="7" w16cid:durableId="19477935">
    <w:abstractNumId w:val="23"/>
  </w:num>
  <w:num w:numId="8" w16cid:durableId="746154230">
    <w:abstractNumId w:val="15"/>
  </w:num>
  <w:num w:numId="9" w16cid:durableId="2099398273">
    <w:abstractNumId w:val="1"/>
  </w:num>
  <w:num w:numId="10" w16cid:durableId="268780495">
    <w:abstractNumId w:val="0"/>
  </w:num>
  <w:num w:numId="11" w16cid:durableId="1396854576">
    <w:abstractNumId w:val="9"/>
  </w:num>
  <w:num w:numId="12" w16cid:durableId="1472791895">
    <w:abstractNumId w:val="12"/>
  </w:num>
  <w:num w:numId="13" w16cid:durableId="189416966">
    <w:abstractNumId w:val="2"/>
  </w:num>
  <w:num w:numId="14" w16cid:durableId="1184173773">
    <w:abstractNumId w:val="4"/>
  </w:num>
  <w:num w:numId="15" w16cid:durableId="1664233690">
    <w:abstractNumId w:val="5"/>
  </w:num>
  <w:num w:numId="16" w16cid:durableId="544759535">
    <w:abstractNumId w:val="20"/>
  </w:num>
  <w:num w:numId="17" w16cid:durableId="948390701">
    <w:abstractNumId w:val="13"/>
  </w:num>
  <w:num w:numId="18" w16cid:durableId="1393191647">
    <w:abstractNumId w:val="18"/>
  </w:num>
  <w:num w:numId="19" w16cid:durableId="519667094">
    <w:abstractNumId w:val="10"/>
  </w:num>
  <w:num w:numId="20" w16cid:durableId="1980498983">
    <w:abstractNumId w:val="17"/>
  </w:num>
  <w:num w:numId="21" w16cid:durableId="647368774">
    <w:abstractNumId w:val="22"/>
  </w:num>
  <w:num w:numId="22" w16cid:durableId="652413361">
    <w:abstractNumId w:val="3"/>
  </w:num>
  <w:num w:numId="23" w16cid:durableId="1980457550">
    <w:abstractNumId w:val="7"/>
  </w:num>
  <w:num w:numId="24" w16cid:durableId="12750971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B4"/>
    <w:rsid w:val="00040311"/>
    <w:rsid w:val="00041B1F"/>
    <w:rsid w:val="00065CD4"/>
    <w:rsid w:val="002B61A6"/>
    <w:rsid w:val="00557EA2"/>
    <w:rsid w:val="005B5FB4"/>
    <w:rsid w:val="00AB23CD"/>
    <w:rsid w:val="00D0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76182"/>
  <w15:chartTrackingRefBased/>
  <w15:docId w15:val="{D2983537-38B3-754B-9553-88C28E2B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FB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B61A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2B61A6"/>
  </w:style>
  <w:style w:type="character" w:customStyle="1" w:styleId="s2">
    <w:name w:val="s2"/>
    <w:basedOn w:val="DefaultParagraphFont"/>
    <w:rsid w:val="002B61A6"/>
  </w:style>
  <w:style w:type="character" w:customStyle="1" w:styleId="apple-converted-space">
    <w:name w:val="apple-converted-space"/>
    <w:basedOn w:val="DefaultParagraphFont"/>
    <w:rsid w:val="002B61A6"/>
  </w:style>
  <w:style w:type="character" w:customStyle="1" w:styleId="s4">
    <w:name w:val="s4"/>
    <w:basedOn w:val="DefaultParagraphFont"/>
    <w:rsid w:val="002B61A6"/>
  </w:style>
  <w:style w:type="paragraph" w:customStyle="1" w:styleId="p3">
    <w:name w:val="p3"/>
    <w:basedOn w:val="Normal"/>
    <w:rsid w:val="002B61A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1848</Words>
  <Characters>10538</Characters>
  <Application>Microsoft Office Word</Application>
  <DocSecurity>0</DocSecurity>
  <Lines>87</Lines>
  <Paragraphs>24</Paragraphs>
  <ScaleCrop>false</ScaleCrop>
  <Company/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alias</dc:creator>
  <cp:keywords/>
  <dc:description/>
  <cp:lastModifiedBy>amin alias</cp:lastModifiedBy>
  <cp:revision>2</cp:revision>
  <dcterms:created xsi:type="dcterms:W3CDTF">2026-02-05T08:19:00Z</dcterms:created>
  <dcterms:modified xsi:type="dcterms:W3CDTF">2026-02-05T08:19:00Z</dcterms:modified>
</cp:coreProperties>
</file>